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1300d61db041cd88e93b78f055f8252777610d"/>
    <w:p>
      <w:pPr>
        <w:pStyle w:val="Heading3"/>
      </w:pPr>
      <w:r>
        <w:t xml:space="preserve">В Москве прошло заседание Национального антитеррористического комитета</w:t>
      </w:r>
    </w:p>
    <w:p>
      <w:pPr>
        <w:pStyle w:val="FirstParagraph"/>
      </w:pPr>
      <w:r>
        <w:t xml:space="preserve">17.04.2018</w:t>
      </w:r>
    </w:p>
    <w:p>
      <w:pPr>
        <w:pStyle w:val="BodyText"/>
      </w:pPr>
      <w:r>
        <w:t xml:space="preserve">В Москве под руководством председателя Национального антитеррористического комитета, Директора ФСБ России А.В. Бортникова</w:t>
      </w:r>
      <w:r>
        <w:t xml:space="preserve"> </w:t>
      </w:r>
      <w:hyperlink r:id="rId20">
        <w:r>
          <w:rPr>
            <w:rStyle w:val="Hyperlink"/>
          </w:rPr>
          <w:t xml:space="preserve">состоялось</w:t>
        </w:r>
      </w:hyperlink>
      <w:r>
        <w:t xml:space="preserve">заседание НАК, на котором рассмотрены вопросы антитеррористической защиты объектов транспортного перехода «Краснодарский край – Крым» и меры по её совершенствованию, а также некоторые аспекты подготовки государственных и муниципальных служащих, участвующих в профилактике терроризма.</w:t>
      </w:r>
    </w:p>
    <w:p>
      <w:pPr>
        <w:pStyle w:val="BodyText"/>
      </w:pPr>
      <w:r>
        <w:t xml:space="preserve">В мероприятии приняли участие члены НАК, полномочные представители Президента Российской Федерации, председатели ряда антитеррористических комиссий в субъектах Российской Федерации, руководители заинтересованных федеральных органов исполнительной власти, представители правоохранительных органов и специальных служб.</w:t>
      </w:r>
    </w:p>
    <w:p>
      <w:pPr>
        <w:pStyle w:val="BodyText"/>
      </w:pPr>
      <w:r>
        <w:t xml:space="preserve">В своем выступлении Председатель НАК отметил, что лидеры международных террористических организаций не оставляют попыток инспирировать террористическую деятельность в различных регионах Российской Федерации. С начала 2018 года совершены три преступления террористической направленности – в Республике Дагестан, Хабаровском крае и Сахалинской области, шесть терактов предотвращены на стадии приготовления.</w:t>
      </w:r>
    </w:p>
    <w:p>
      <w:pPr>
        <w:pStyle w:val="BodyText"/>
      </w:pPr>
      <w:r>
        <w:t xml:space="preserve">Всего с начала года в ходе комплекса мер, реализуемых при координирующей роли НАК, пресечена деятельность 12 законспирированных террористических ячеек, задержано 189 и нейтрализовано 15 бандитов и их пособников.</w:t>
      </w:r>
    </w:p>
    <w:p>
      <w:pPr>
        <w:pStyle w:val="BodyText"/>
      </w:pPr>
      <w:r>
        <w:t xml:space="preserve">Принятыми мерами, отметил А.В. Бортников, удалось сохранить тенденцию сокращения числа совершённых преступлений террористической направленности в Российской Федерации.</w:t>
      </w:r>
    </w:p>
    <w:p>
      <w:pPr>
        <w:pStyle w:val="BodyText"/>
      </w:pPr>
      <w:r>
        <w:t xml:space="preserve">В то же время не утратившие актуальности террористические угрозы вызывают необходимость дальнейшего совершенствования общегосударственной системы противодействия терроризму, в том числе в сфере обеспечения защиты потенциальных объектов террористических посягательств. К таким объектам относится и строящийся Крымский мост, обстановка в окружении которого остаётся напряжённой ввиду намерений спецслужб и националистических организаций Украины совершить диверсии на территории Крымского полуострова.</w:t>
      </w:r>
    </w:p>
    <w:p>
      <w:pPr>
        <w:pStyle w:val="BodyText"/>
      </w:pPr>
      <w:r>
        <w:t xml:space="preserve">В ходе обсуждения вопросов повестки дня были даны оценки организации работы государственных органов по обеспечению антитеррористической защищенности объектов, организации профессиональной подготовки государственных и муниципальных служащих, участвующих в мероприятиях по профилактике терроризма, а также выработаны дополнительные меры, направленные на активное задействование потенциала образовательных учреждений страны.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http://troparevo-nikulino.mos.ru/counter-terrorism/news/detail/7272910.html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counter-terrorism/news/detail/7272910.html" TargetMode="External" /><Relationship Type="http://schemas.openxmlformats.org/officeDocument/2006/relationships/hyperlink" Id="rId20" Target="https://na-zapade-mos.ru/1016835-v-moskve-proshlo-zasedanie-nacionalnogo-antiterroristicheskogo-komiteta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counter-terrorism/news/detail/7272910.html" TargetMode="External" /><Relationship Type="http://schemas.openxmlformats.org/officeDocument/2006/relationships/hyperlink" Id="rId20" Target="https://na-zapade-mos.ru/1016835-v-moskve-proshlo-zasedanie-nacionalnogo-antiterroristicheskogo-komiteta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2025-07-08T13:12:13Z</dcterms:created>
  <dcterms:modified xsi:type="dcterms:W3CDTF">2025-07-08T13:12:13Z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