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174b3015fbb13e6c15cd4a70329f8745668b6"/>
    <w:p>
      <w:pPr>
        <w:pStyle w:val="Heading3"/>
      </w:pPr>
      <w:r>
        <w:t xml:space="preserve">Департамент региональной безопасности напомнил об ответственности за ложные сообщения о теракте</w:t>
      </w:r>
    </w:p>
    <w:p>
      <w:pPr>
        <w:pStyle w:val="FirstParagraph"/>
      </w:pPr>
      <w:r>
        <w:t xml:space="preserve">28.06.2018</w:t>
      </w:r>
    </w:p>
    <w:p>
      <w:pPr>
        <w:pStyle w:val="BodyText"/>
      </w:pPr>
      <w:r>
        <w:t xml:space="preserve">Представители столичного Департамента региональной безопасности и противодействия коррупции в преддверии Чемпионата мира по футболу в России напоминают москвичам о юридической ответственности за заведомо ложные сообщения об акте терроризма. С 2018 года в Уголовный кодекс Российской Федерации внесены поправки, касающиеся ложных сообщений о терактах. Согласно новым правилам, хулиганов, сообщающих о готовящихся акциях, которые якобы угрожают жизни людей, ждет наказание от штрафа в размере 200-500 тысяч рублей до исправительных работ или лишения свободы до трех лет. Отметим, что если подобное хулиганство касается социальных объектов, таких как, к примеру, больницы, банки, стадионы и торговые центры, то штраф увеличивается от 500 до 700, а срок лишения свободы может составить до пяти лет.</w:t>
      </w:r>
      <w:r>
        <w:br/>
      </w:r>
      <w:r>
        <w:t xml:space="preserve">Кроме того, помимо уголовной ответственности хулиган понесет и гражданскую. Ему может быть предъявлен иск на возмещение морального, физического или материального ущерба, а также на возмещение госзатрат. С более подробной информацией можно ознакомиться 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http://troparevo-nikulino.mos.ru/counter-terrorism/news/detail/7420188.html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420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420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2025-07-09T14:25:44Z</dcterms:created>
  <dcterms:modified xsi:type="dcterms:W3CDTF">2025-07-09T14:25:44Z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