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b953abcf713041a8bed1c8dc6bd9bb429ddc9f"/>
    <w:p>
      <w:pPr>
        <w:pStyle w:val="Heading3"/>
      </w:pPr>
      <w:r>
        <w:t xml:space="preserve">НАК одобрил порядок исполнения Комплексного плана противодействия идеологии терроризма</w:t>
      </w:r>
    </w:p>
    <w:p>
      <w:pPr>
        <w:pStyle w:val="FirstParagraph"/>
      </w:pPr>
      <w:r>
        <w:t xml:space="preserve">25.04.2019</w:t>
      </w:r>
    </w:p>
    <w:p>
      <w:pPr>
        <w:pStyle w:val="BodyText"/>
      </w:pPr>
      <w:r>
        <w:t xml:space="preserve">9 апреля 2019 года Национальный антитеррористический комитет одобрил Порядок организации и координации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по исполнению Комплексного плана противодействия идеологии терроризма в Российской Федерации на 2019 – 2023 годы.9 апреля 2019 года Национальный антитеррористический комитет одобрил Порядок организации и координации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по исполнению Комплексного плана противодействия идеологии терроризма в Российской Федерации на 2019 – 2023 годы.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Текст документа размещен в разделе Законодательство - Иные правовые акты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http://troparevo-nikulino.mos.ru/counter-terrorism/news/detail/8049595.html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ac.gov.ru/zakonodatelstvo/inye-pravovye-akty/poryadok-organizacii-i-koordinacii.html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counter-terrorism/news/detail/8049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ac.gov.ru/zakonodatelstvo/inye-pravovye-akty/poryadok-organizacii-i-koordinacii.html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counter-terrorism/news/detail/8049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2023-10-12T01:24:09Z</dcterms:created>
  <dcterms:modified xsi:type="dcterms:W3CDTF">2023-10-12T01:24:09Z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