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0f7b958482108c634efa60d084ba90b76e5e1"/>
    <w:p>
      <w:pPr>
        <w:pStyle w:val="Heading3"/>
      </w:pPr>
      <w:r>
        <w:t xml:space="preserve">С начала 2024 года Отделение СФР по Москве и Московской области оплатило пособия по временной нетрудоспособности 2,9 млн жителей региона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Согласно данным Отделения СФР по Москве и Московской области, с начала года 2,9 млн работающих жителей в регионе получили 5,9 млн пособий по временной нетрудоспособности. Сумма перечисленных средств составила 92,3 млрд рублей.</w:t>
      </w:r>
    </w:p>
    <w:p>
      <w:pPr>
        <w:pStyle w:val="BodyText"/>
      </w:pPr>
      <w:r>
        <w:t xml:space="preserve">На сегодняшний день практически все листки нетрудоспособности оформляются в электронном виде. Исключение предусмотрено для лиц:</w:t>
      </w:r>
    </w:p>
    <w:p>
      <w:pPr>
        <w:numPr>
          <w:ilvl w:val="0"/>
          <w:numId w:val="1001"/>
        </w:numPr>
        <w:pStyle w:val="Compact"/>
      </w:pPr>
      <w:r>
        <w:t xml:space="preserve">сведения о которых составляют государственную и иную охраняемую законом тайну;</w:t>
      </w:r>
    </w:p>
    <w:p>
      <w:pPr>
        <w:numPr>
          <w:ilvl w:val="0"/>
          <w:numId w:val="1001"/>
        </w:numPr>
        <w:pStyle w:val="Compact"/>
      </w:pPr>
      <w:r>
        <w:t xml:space="preserve">в отношении которых реализуются меры государственной защиты.</w:t>
      </w:r>
    </w:p>
    <w:p>
      <w:pPr>
        <w:pStyle w:val="FirstParagraph"/>
      </w:pPr>
      <w:r>
        <w:t xml:space="preserve">Среди преимуществ электронного листка нетрудоспособности — минимизация времени на оформление, исключение возможности его порчи или утери, а также случаев мошенничества.</w:t>
      </w:r>
    </w:p>
    <w:p>
      <w:pPr>
        <w:pStyle w:val="BodyText"/>
      </w:pPr>
      <w:r>
        <w:t xml:space="preserve">Для получения листка нетрудоспособности необходимо только сообщить номер СНИЛС. Оформленный больничный лист поступает из медучреждения напрямую к работодателю. Затем необходимые сведения передаются Отделение СФР по Москве и Московской области в течение трех рабочих дней с даты закрытия больничного. Денежные средства выплачиваются застрахованным не позднее 10 рабочих дней с момента получения сведений.</w:t>
      </w:r>
    </w:p>
    <w:p>
      <w:pPr>
        <w:pStyle w:val="BodyText"/>
      </w:pPr>
      <w:r>
        <w:t xml:space="preserve">Размер пособия зависит от среднего заработка за предыдущие два года и страхового стажа сотрудника. При стаже 8 и более лет он составит 100% среднего заработка, от 5 до 8 лет — 80%, менее 5 лет — 60%.</w:t>
      </w:r>
    </w:p>
    <w:p>
      <w:pPr>
        <w:pStyle w:val="BodyText"/>
      </w:pPr>
      <w:r>
        <w:t xml:space="preserve">«За первые три дня болезни работодатель самостоятельно рассчитывает и выплачивает пособие из собственных средств, а с четвертого дня это делает Отделение фонда по Москве и Московской области.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Отделения Социального фонда с первого дня»,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Граждане, у которых есть подтвержденная учетная запись на портале госуслуг, получают информационные сообщения об открытии, продлении и закрытии электронных листков нетрудоспособности.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 — 8 (800)100-00-01 (звонок бесплатный),</w:t>
      </w:r>
      <w:r>
        <w:t xml:space="preserve"> </w:t>
      </w:r>
      <w:r>
        <w:rPr>
          <w:bCs/>
          <w:b/>
          <w:iCs/>
          <w:i/>
        </w:rPr>
        <w:t xml:space="preserve">а также по единому номеру для консультирования страхователей 8 (495) 650-19-17</w:t>
      </w:r>
      <w:r>
        <w:t xml:space="preserve"> </w:t>
      </w:r>
      <w:r>
        <w:rPr>
          <w:bCs/>
          <w:b/>
          <w:iCs/>
          <w:i/>
        </w:rPr>
        <w:t xml:space="preserve">(понедельник-четверг с 09:00 до 18:00, пятница с 09:00 до 16:45, без перерыва).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http://troparevo-nikulino.mos.ru/presscenter/news-on-main/detail/12654012.html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5401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5401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2024-11-11T16:26:07Z</dcterms:created>
  <dcterms:modified xsi:type="dcterms:W3CDTF">2024-11-11T16:26:07Z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