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7300ed68d981a26c9a7799ba60c68384faaf"/>
    <w:p>
      <w:pPr>
        <w:pStyle w:val="Heading3"/>
      </w:pPr>
      <w:r>
        <w:t xml:space="preserve">С.Собянин: Срок ремонта поврежденных из-за ДТП ограждений не должен превышать пяти дней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Срок ремонта поврежденных из-за ДТП ограждений не должен превышать пяти дней, сообщает пресс-служба московского правительства со ссылкой на мэра города Сергея Собянина.</w:t>
      </w:r>
      <w:r>
        <w:br/>
      </w:r>
      <w:r>
        <w:t xml:space="preserve">«По требованию С.Собянина комплекс городского хозяйства должен в ближайшие дни завершить ремонт всех поврежденных ограждений, а в дальнейшем срок ремонта не должен превышать пяти дней со дня ДТП», - говорится в материале.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http://troparevo-nikulino.mos.ru/presscenter/news/detail/1250553.html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50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50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2025-08-06T00:59:30Z</dcterms:created>
  <dcterms:modified xsi:type="dcterms:W3CDTF">2025-08-06T00:59:30Z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