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194553f387e3d3ed406b3135c48b7b02568b"/>
    <w:p>
      <w:pPr>
        <w:pStyle w:val="Heading3"/>
      </w:pPr>
      <w:r>
        <w:t xml:space="preserve">Московскую программу капремонта многоквартирных домов поддержала Общественная палата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 начала реализации московской Региональной программы капитального ремонта общего имущества в многоквартирных домах осталось меньше месяца. Как и следовало ожидать, с приближением к старту возникают все новые и новые вопросы. Некоторые из них были обсуждены на заседании Рабочей группы по вопросам реализации Региональной программы капремонта при Общественной палате Москвы.</w:t>
      </w:r>
    </w:p>
    <w:p>
      <w:pPr>
        <w:pStyle w:val="BodyText"/>
      </w:pPr>
    </w:p>
    <w:p>
      <w:pPr>
        <w:pStyle w:val="BodyText"/>
      </w:pPr>
      <w:r>
        <w:t xml:space="preserve">Итак, в июле собственники жилья впервые оплатят взнос на капремонт, включенный в общую стоимость ЖКУ. В июле же начнутся ремонтные работы в домах-первоочередниках – и тогда обязательно встанет вопрос о контроле качества этих работ. Государственный контроль осуществляться будет, это само собой разумеется. Но подразумевается и другой контроль – общественный. «В Москве должны принять несколько нормативных актов, которые усилили бы контроль собственников за реализацией программы. Подобные акты приняты уже почти во всех субъектах России, – заявила, выступая на заседании, исполнительный директор Национального центра общественного контроля в сфере жилищно-коммунального хозяйства «ЖКХ Контроль» Светлана Разворотнева. – Самая главная задача: добиться, чтобы ремонт был качественный, чтобы люди четко понимали, что делается в их доме, видели сметы, понимали результаты работы. Я считаю, что общественники Москвы и органы местного самоуправления должны сконцентрироваться на этой задаче».</w:t>
      </w:r>
    </w:p>
    <w:p>
      <w:pPr>
        <w:pStyle w:val="BodyText"/>
      </w:pPr>
      <w:r>
        <w:t xml:space="preserve">Как решили участники заседания, в столице обязательно должно быть организовано обучение собственников жилья – гражданам следует научиться правильному и эффективному контролю над проведением ремонта. Это, во-первых. А во-вторых, как можно оперативнее должны быть созданы комиссии по урегулированию спорных ситуаций между жителями и застройщиками. В том, что такие ситуации будут возникать, сомнений нет. И решать их нужно грамотно, в рамках правового поля.</w:t>
      </w:r>
    </w:p>
    <w:p>
      <w:pPr>
        <w:pStyle w:val="BodyText"/>
      </w:pPr>
      <w:r>
        <w:t xml:space="preserve">Еще одна проблема, обозначенная на заседании, – необходимость обновления нормативной базы по капремонту. Предыдущая утверждалась лет тридцать назад, а ведь с тех пор многое изменилось – материалы, технологии. Кстати, именно современные материалы и технологии, дающие возможность проводить ремонт более быстро и качественно, позволили Москве установить взнос за капитальный ремонт в размере 15 рублей за квадратный метр.</w:t>
      </w:r>
    </w:p>
    <w:p>
      <w:pPr>
        <w:pStyle w:val="BodyText"/>
      </w:pPr>
      <w:r>
        <w:t xml:space="preserve">Как напомнил председатель комиссии по городскому хозяйству и жилищной политике Степан Орлов, изначально речь шла о 20-23 рублях за квадратный метр. «Но, проведя ряд дополнительных консультаций, мы пришли к выводу, что благодаря применению современных технологий и новых материалов, которые могут позволить увеличить межремонтные сроки работ, можно снизить сумму до 18 рублей. Такое предложение Мосгордума вынесла в Правительство Москвы. Там, в свою очередь, изучив документы, пришли к выводу, что можно установить взнос в размере 15 рублей за квадратный метр», – рассказал Орлов.</w:t>
      </w:r>
    </w:p>
    <w:p>
      <w:pPr>
        <w:pStyle w:val="BodyText"/>
      </w:pPr>
      <w:r>
        <w:t xml:space="preserve">Члены Рабочей группы сошлись во мнении, что установленная сумма взноса в Москве оптимальна для региона.</w:t>
      </w:r>
    </w:p>
    <w:p>
      <w:pPr>
        <w:pStyle w:val="BodyText"/>
      </w:pPr>
      <w:r>
        <w:t xml:space="preserve">Не остался без внимания и актуальный вопрос поддержки малообеспеченных граждан. Заместитель председателя Комитета Госдумы по жилищной политике и ЖКХ Александр Сидякин подчеркнул, что в Москве один из самых низких порогов начисления субсидии на капитальный ремонт. Субсидии будут предоставляться тем собственникам, которые вынуждены отдавать за капремонт и коммунальные услуги более 10% семейного совокупного дохода, при этом в среднем по России этот порог установлен на уровне 22%.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http://troparevo-nikulino.mos.ru/presscenter/news/detail/1912988.html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12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12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2025-05-31T19:48:14Z</dcterms:created>
  <dcterms:modified xsi:type="dcterms:W3CDTF">2025-05-31T19:48:14Z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