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ed929a58f494a3e41c4f28dfbbcc2acedf084"/>
    <w:p>
      <w:pPr>
        <w:pStyle w:val="Heading3"/>
      </w:pPr>
      <w:r>
        <w:t xml:space="preserve">Еще 500 домов добавил город к программе капремонта в нынешнем году</w:t>
      </w:r>
    </w:p>
    <w:p>
      <w:pPr>
        <w:pStyle w:val="FirstParagraph"/>
      </w:pPr>
      <w:r>
        <w:t xml:space="preserve">08.06.2016</w:t>
      </w:r>
    </w:p>
    <w:p>
      <w:pPr>
        <w:pStyle w:val="BodyText"/>
      </w:pPr>
      <w:r>
        <w:rPr>
          <w:iCs/>
          <w:i/>
        </w:rPr>
        <w:t xml:space="preserve">Это стало возможно во многом благодаря добросовестности жителей столицы, отметил глава Фонда капитального ремонта многоквартирных домов Москвы Артур Кескинов.</w:t>
      </w:r>
    </w:p>
    <w:p>
      <w:pPr>
        <w:pStyle w:val="BodyText"/>
      </w:pPr>
    </w:p>
    <w:p>
      <w:pPr>
        <w:pStyle w:val="BodyText"/>
      </w:pPr>
      <w:r>
        <w:t xml:space="preserve">В интервью порталу mos.ru Артур Кескинов заявил: «Москвичи традиционно являются добросовестными и ответственными плательщиками, и на сегодняшний день собираемость взносов по городу превышает 92 процента – это один из лучших показателей по стране». В свою очередь полнота поступлений взносов собственников - одно из ключевых условий, позволяющих выполнять максимальные объемы ремонта, в том числе с переносом отдельных видов работ на более ранние сроки. В качестве источника дополнительных средств рассматривается также возможность опережающего финансирования городом взносов за свою собственность за последующие периоды.</w:t>
      </w:r>
    </w:p>
    <w:p>
      <w:pPr>
        <w:pStyle w:val="BodyText"/>
      </w:pPr>
      <w:r>
        <w:t xml:space="preserve">К программе капремонта жилья на этот год добавлено 500 многоэтажек. В них планируют заменить газовые трубы и отремонтировать фасады. Артур Кескинов пояснил: «Региональная программа формировалась исходя из оценки состояния жилого фонда, и первыми по графику стоят дома, в которых необходим ремонт наибольшего количества инженерных систем. В то же время есть здания, в которых таких систем меньше, так как много ремонтировалось в последние годы. Работы в таких домах, соответственно, запланированы на более поздние сроки, но при этом объективно есть случаи, когда в числе требующих ремонта элементов остаются фасады и системы газоснабжения. Состояние этих элементов зданий напрямую влияет на безопасность проживания, чем и обуславливается принятое решение об их ремонте ранее запланированных сроков».</w:t>
      </w:r>
    </w:p>
    <w:p>
      <w:pPr>
        <w:pStyle w:val="BodyText"/>
      </w:pPr>
      <w:r>
        <w:t xml:space="preserve">Основные критерии, по которым были выбраны многоквартирные дома для включения в график ремонта на ближайшее время, — это техническое состояние, в том числе характер выявленных дефектов: например, разрушение балконных плит, деформационные трещины, резьбовые соединения газовых труб и т. д. «После проведенных обследований принято решение о дополнительном включении в план 2016 года фасадных работ в 400 домах, а также реконструкции внутридомовых систем газоснабжения в 102 домах. Всего же, если говорить с учетом основного плана, запланирован ремонт 2154 фасадов и 624 систем газоснабжения», – сообщил Кескинов.</w:t>
      </w:r>
    </w:p>
    <w:p>
      <w:pPr>
        <w:pStyle w:val="BodyText"/>
      </w:pPr>
      <w:r>
        <w:t xml:space="preserve">Ксения Кукушкина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http://troparevo-nikulino.mos.ru/presscenter/news/detail/3102761.html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3102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3102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2023-12-20T14:13:03Z</dcterms:created>
  <dcterms:modified xsi:type="dcterms:W3CDTF">2023-12-20T14:13:03Z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