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ed965f31ce6047c7fcde4010cb6b9e098c126f"/>
    <w:p>
      <w:pPr>
        <w:pStyle w:val="Heading3"/>
      </w:pPr>
      <w:r>
        <w:t xml:space="preserve">Московское долголетие. Район Тропарево-Никулино</w:t>
      </w:r>
    </w:p>
    <w:p>
      <w:pPr>
        <w:pStyle w:val="FirstParagraph"/>
      </w:pPr>
      <w:r>
        <w:t xml:space="preserve">05.02.2019</w:t>
      </w:r>
    </w:p>
    <w:p>
      <w:pPr>
        <w:pStyle w:val="BodyText"/>
      </w:pPr>
      <w:r>
        <w:drawing>
          <wp:inline>
            <wp:extent cx="5334000" cy="75409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roparevo-nikulino.mos.ru/www/ilnews/19.02/Флаер%20ТН%20(1)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0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http://troparevo-nikulino.mos.ru/presscenter/news/detail/7867803.html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7867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7867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2024-04-11T22:19:03Z</dcterms:created>
  <dcterms:modified xsi:type="dcterms:W3CDTF">2024-04-11T22:19:03Z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